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ongenial" w:cs="Congenial" w:eastAsia="Congenial" w:hAnsi="Congenial"/>
          <w:sz w:val="36"/>
          <w:szCs w:val="36"/>
        </w:rPr>
      </w:pPr>
      <w:r w:rsidDel="00000000" w:rsidR="00000000" w:rsidRPr="00000000">
        <w:rPr>
          <w:rFonts w:ascii="Congenial" w:cs="Congenial" w:eastAsia="Congenial" w:hAnsi="Congenial"/>
          <w:sz w:val="36"/>
          <w:szCs w:val="36"/>
          <w:rtl w:val="0"/>
        </w:rPr>
        <w:t xml:space="preserve">Stoughton South Elementary School </w:t>
      </w:r>
      <w:r w:rsidDel="00000000" w:rsidR="00000000" w:rsidRPr="00000000">
        <w:drawing>
          <wp:anchor allowOverlap="1" behindDoc="0" distB="36195" distT="36195" distL="36195" distR="36195" hidden="0" layoutInCell="1" locked="0" relativeHeight="0" simplePos="0">
            <wp:simplePos x="0" y="0"/>
            <wp:positionH relativeFrom="column">
              <wp:posOffset>-668654</wp:posOffset>
            </wp:positionH>
            <wp:positionV relativeFrom="paragraph">
              <wp:posOffset>36195</wp:posOffset>
            </wp:positionV>
            <wp:extent cx="800100" cy="789842"/>
            <wp:effectExtent b="0" l="0" r="0" t="0"/>
            <wp:wrapSquare wrapText="bothSides" distB="36195" distT="36195" distL="36195" distR="36195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898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195" distT="36195" distL="36195" distR="36195" hidden="0" layoutInCell="1" locked="0" relativeHeight="0" simplePos="0">
            <wp:simplePos x="0" y="0"/>
            <wp:positionH relativeFrom="column">
              <wp:posOffset>5736908</wp:posOffset>
            </wp:positionH>
            <wp:positionV relativeFrom="paragraph">
              <wp:posOffset>36195</wp:posOffset>
            </wp:positionV>
            <wp:extent cx="795338" cy="788172"/>
            <wp:effectExtent b="0" l="0" r="0" t="0"/>
            <wp:wrapSquare wrapText="bothSides" distB="36195" distT="36195" distL="36195" distR="36195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5338" cy="7881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ongenial" w:cs="Congenial" w:eastAsia="Congenial" w:hAnsi="Congenial"/>
          <w:sz w:val="36"/>
          <w:szCs w:val="36"/>
        </w:rPr>
      </w:pPr>
      <w:r w:rsidDel="00000000" w:rsidR="00000000" w:rsidRPr="00000000">
        <w:rPr>
          <w:rFonts w:ascii="Congenial" w:cs="Congenial" w:eastAsia="Congenial" w:hAnsi="Congenial"/>
          <w:sz w:val="36"/>
          <w:szCs w:val="36"/>
          <w:rtl w:val="0"/>
        </w:rPr>
        <w:t xml:space="preserve">PTO Agenda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94b6d2" w:space="4" w:sz="4" w:val="single"/>
          <w:right w:space="0" w:sz="0" w:val="nil"/>
          <w:between w:space="0" w:sz="0" w:val="nil"/>
        </w:pBdr>
        <w:shd w:fill="auto" w:val="clear"/>
        <w:tabs>
          <w:tab w:val="left" w:leader="none" w:pos="9270"/>
        </w:tabs>
        <w:spacing w:after="280" w:before="200" w:line="276" w:lineRule="auto"/>
        <w:ind w:left="-1170" w:right="-720" w:firstLine="0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i w:val="1"/>
          <w:sz w:val="28"/>
          <w:szCs w:val="28"/>
          <w:rtl w:val="0"/>
        </w:rPr>
        <w:t xml:space="preserve">October 4,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806" w:firstLine="0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Welcome &amp; Introductions</w:t>
      </w:r>
    </w:p>
    <w:p w:rsidR="00000000" w:rsidDel="00000000" w:rsidP="00000000" w:rsidRDefault="00000000" w:rsidRPr="00000000" w14:paraId="00000005">
      <w:pPr>
        <w:spacing w:after="0" w:line="240" w:lineRule="auto"/>
        <w:ind w:left="-806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Allison Reddington - President’s &amp; Kasey DiBiasio - VP’s Updates</w:t>
            </w:r>
          </w:p>
        </w:tc>
      </w:tr>
    </w:tbl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Approval of September meeting minutes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Upcoming at the South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10/5 World Teacher’s Day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10/5 PTC Registration Opens 4pm, Parent Portal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10/6 Popcorn Friday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10/16-10/20 Discovery Museum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10/12 PTO Presidents ☕️ Superintendent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10/19 Early Release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10/19 Parent-Teacher Conferences (Look for our PTO Table!)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10/19 Dining 4$ - Chateau (Don’t Forget to mention the South!)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10/20 Decorate &amp; Set-Up for PP*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10/22 Pumpkin Patch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after="0" w:line="240" w:lineRule="auto"/>
        <w:ind w:left="180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Set-Up 8-12*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after="0" w:line="240" w:lineRule="auto"/>
        <w:ind w:left="180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Main Event 12-4 (Raffles begin at 3pm)*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after="0" w:line="240" w:lineRule="auto"/>
        <w:ind w:left="180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Clean up 4-5*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10/28 Trunk or Treat “Fins &amp; Flames” @ Dawe 6-7:15 pm*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11/1 PTO Meeting @ 7pm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Old Business (Updates &amp; Follow-Ups)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JR’s Landscaping - School Front Project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Get Personal w/ PTO complete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B2S Night PTO Table Raffles, Cookies &amp; Sharking (HBday)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PTO Events iCalendar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Spring SUPPORT STAFF Giving Drive Follow Up*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3rd Grade Team Requested Spelling City, Board Approved ($121-)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National Custodial Recognition, Recap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Time Capsule, Update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after="0" w:line="240" w:lineRule="auto"/>
        <w:ind w:left="180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Flag Day 2024, Mary Reese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New Business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Art Teacher Request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after="0" w:line="240" w:lineRule="auto"/>
        <w:ind w:left="180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Vote 🗳️ Required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Teacher Anniversaries Milestones, How to Honor &amp; Acknowledge?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after="0" w:line="240" w:lineRule="auto"/>
        <w:ind w:left="180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Johnson, 30th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after="0" w:line="240" w:lineRule="auto"/>
        <w:ind w:left="180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Russell, 30th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SHS Scholarship Recipients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Jola Tuck – Treasurer’s Updates</w:t>
            </w:r>
          </w:p>
        </w:tc>
      </w:tr>
    </w:tbl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Budget Notes, Profit &amp; Loss as of 9/30/23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SEPAC Donation Update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Teacher Grant Update</w:t>
      </w:r>
    </w:p>
    <w:p w:rsidR="00000000" w:rsidDel="00000000" w:rsidP="00000000" w:rsidRDefault="00000000" w:rsidRPr="00000000" w14:paraId="0000002E">
      <w:pPr>
        <w:spacing w:after="0" w:line="240" w:lineRule="auto"/>
        <w:ind w:left="36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Melanie DiBiasio – Secretary’s Updates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Website Updates 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Sponsor Links from Donors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Get Personal with your PTO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Newsletter</w:t>
      </w:r>
    </w:p>
    <w:p w:rsidR="00000000" w:rsidDel="00000000" w:rsidP="00000000" w:rsidRDefault="00000000" w:rsidRPr="00000000" w14:paraId="00000034">
      <w:pPr>
        <w:spacing w:after="0" w:line="240" w:lineRule="auto"/>
        <w:ind w:left="36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Abby Eustis &amp; Jenney Ivaldi – Fundraising Updates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Spirit Wear Sales Summary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Rebecca’s Nut Free Update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Tiffany White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Dining 4$ - Chateau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Melissa Lynch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Pumpkin Patch*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Signup Geniuses are available!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Progress Update (Overall &amp; each Subcommittee)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TY Notes*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Ongoing Fundraiser Reminders: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Sharking* (Until Winter Begins 12/21, or ground freezes) 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spacing w:after="0" w:line="240" w:lineRule="auto"/>
        <w:ind w:left="180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Sara Levine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Textile Bin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Staples CONNECT, Lots of Teachers still missing!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Walmart SPARKS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spacing w:after="0" w:line="240" w:lineRule="auto"/>
        <w:ind w:left="180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Jola Tuck &amp; Allison Reddington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312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12"/>
        <w:tblGridChange w:id="0">
          <w:tblGrid>
            <w:gridCol w:w="113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Nancy Nunez – Cultural Enrichment Updates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Discovery Science Museum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Whale Exhibit ?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Recycled Mobile Home ?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Parent Math Curriculum/ Homework Help Night Update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Laura Callis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Garden Box* Status Update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Ms. Gabriels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Tiffany White – Membership Updates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Membership Updates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ind w:left="36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Mr. Dore &amp; Teacher Reps - South School Updates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Math Literacy Clocks Update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*Volunteer(s) Needed</w:t>
      </w:r>
    </w:p>
    <w:p w:rsidR="00000000" w:rsidDel="00000000" w:rsidP="00000000" w:rsidRDefault="00000000" w:rsidRPr="00000000" w14:paraId="0000005F">
      <w:pPr>
        <w:spacing w:after="0" w:lineRule="auto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i w:val="1"/>
          <w:rtl w:val="0"/>
        </w:rPr>
        <w:t xml:space="preserve">&gt;&gt; Next Meeting - November 1, 2023 &lt;&lt;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360" w:left="1440" w:right="1440" w:header="720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Congenial"/>
  <w:font w:name="Noto Sans Symbols">
    <w:embedRegular w:fontKey="{00000000-0000-0000-0000-000000000000}" r:id="rId1" w:subsetted="0"/>
    <w:embedBold w:fontKey="{00000000-0000-0000-0000-000000000000}" r:id="rId2" w:subsetted="0"/>
  </w:font>
  <w:font w:name="Comfortaa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both"/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Visit us on the WEB:  </w:t>
    </w:r>
    <w:hyperlink r:id="rId1">
      <w:r w:rsidDel="00000000" w:rsidR="00000000" w:rsidRPr="00000000">
        <w:rPr>
          <w:rFonts w:ascii="Comfortaa" w:cs="Comfortaa" w:eastAsia="Comfortaa" w:hAnsi="Comforta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www.southpto.weebly.com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center"/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Follow us on Facebook:  Stoughton South Elementary School</w:t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center"/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Contact us via Email:  southptostoughton@gmail.com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omfortaa-regular.ttf"/><Relationship Id="rId4" Type="http://schemas.openxmlformats.org/officeDocument/2006/relationships/font" Target="fonts/Comforta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outhpto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